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76" w:before="0" w:after="0"/>
        <w:jc w:val="center"/>
        <w:rPr>
          <w:i/>
          <w:i/>
          <w:iCs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VZOR</w:t>
      </w:r>
    </w:p>
    <w:p>
      <w:pPr>
        <w:pStyle w:val="Normal"/>
        <w:widowControl w:val="false"/>
        <w:spacing w:lineRule="auto" w:line="276" w:before="0" w:after="0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Veřejnoprávní smlouva o poskytnutí dotace č. …./20…..</w:t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I.</w:t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Smluvní strany</w:t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Obec Kratonohy</w:t>
      </w:r>
    </w:p>
    <w:p>
      <w:pPr>
        <w:pStyle w:val="Normal"/>
        <w:widowControl w:val="false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sídlo: Kratonohy 31, 503 24</w:t>
      </w:r>
    </w:p>
    <w:p>
      <w:pPr>
        <w:pStyle w:val="Normal"/>
        <w:widowControl w:val="false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IČ: 00268968</w:t>
      </w:r>
    </w:p>
    <w:p>
      <w:pPr>
        <w:pStyle w:val="Normal"/>
        <w:widowControl w:val="false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zastoupena: Petrem Šatalíkem, starostou obce</w:t>
      </w:r>
    </w:p>
    <w:p>
      <w:pPr>
        <w:pStyle w:val="Normal"/>
        <w:widowControl w:val="false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číslo bankovního účtu: 3028244/0300</w:t>
      </w:r>
    </w:p>
    <w:p>
      <w:pPr>
        <w:pStyle w:val="Normal"/>
        <w:widowControl w:val="false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(dále jen "</w:t>
      </w:r>
      <w:r>
        <w:rPr>
          <w:rFonts w:ascii="Times New Roman" w:hAnsi="Times New Roman"/>
          <w:b/>
          <w:color w:val="000000"/>
          <w:sz w:val="24"/>
          <w:szCs w:val="24"/>
        </w:rPr>
        <w:t>poskytovatel</w:t>
      </w:r>
      <w:r>
        <w:rPr>
          <w:rFonts w:ascii="Times New Roman" w:hAnsi="Times New Roman"/>
          <w:color w:val="000000"/>
          <w:sz w:val="24"/>
          <w:szCs w:val="24"/>
        </w:rPr>
        <w:t>")</w:t>
      </w:r>
    </w:p>
    <w:p>
      <w:pPr>
        <w:pStyle w:val="Normal"/>
        <w:widowControl w:val="false"/>
        <w:spacing w:lineRule="auto" w:line="276" w:before="0" w:after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widowControl w:val="false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</w:p>
    <w:p>
      <w:pPr>
        <w:pStyle w:val="Normal"/>
        <w:widowControl w:val="false"/>
        <w:spacing w:lineRule="auto" w:line="276" w:before="0" w:after="0"/>
        <w:rPr>
          <w:rFonts w:ascii="Times New Roman" w:hAnsi="Times New Roman"/>
          <w:color w:val="000000"/>
          <w:sz w:val="24"/>
          <w:szCs w:val="24"/>
          <w:lang w:val="de-AT"/>
        </w:rPr>
      </w:pPr>
      <w:r>
        <w:rPr>
          <w:rFonts w:ascii="Times New Roman" w:hAnsi="Times New Roman"/>
          <w:color w:val="000000"/>
          <w:sz w:val="24"/>
          <w:szCs w:val="24"/>
          <w:lang w:val="de-AT"/>
        </w:rPr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>(u právnické osoby, spolků, atd.)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Název právnické osoby: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sídlo: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IČ: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zastoupená: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číslo bankovního účtu: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zapsána v obchodním rejstříku, vedeném Krajským soudem ................., oddíl ............, vložka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nebo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údaj o zápisu do veřejného rejstříku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(dále jen "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příjemce</w:t>
      </w:r>
      <w:r>
        <w:rPr>
          <w:rFonts w:cs="Times New Roman" w:ascii="Times New Roman" w:hAnsi="Times New Roman"/>
          <w:color w:val="000000"/>
          <w:sz w:val="24"/>
          <w:szCs w:val="24"/>
        </w:rPr>
        <w:t>")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>(u fyzické osoby)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Jméno a příjmení: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datum narození: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adresa bydliště: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IČ: (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je-li podnikatelem</w:t>
      </w:r>
      <w:r>
        <w:rPr>
          <w:rFonts w:cs="Times New Roman" w:ascii="Times New Roman" w:hAnsi="Times New Roman"/>
          <w:color w:val="000000"/>
          <w:sz w:val="24"/>
          <w:szCs w:val="24"/>
        </w:rPr>
        <w:t>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číslo bankovního účtu: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údaj o zápisu do veřejného rejstříku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(dále jen "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příjemce</w:t>
      </w:r>
      <w:r>
        <w:rPr>
          <w:rFonts w:cs="Times New Roman" w:ascii="Times New Roman" w:hAnsi="Times New Roman"/>
          <w:color w:val="000000"/>
          <w:sz w:val="24"/>
          <w:szCs w:val="24"/>
        </w:rPr>
        <w:t>")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  <w:lang w:val="de-AT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de-AT"/>
        </w:rPr>
      </w:r>
    </w:p>
    <w:p>
      <w:pPr>
        <w:pStyle w:val="Normal"/>
        <w:widowControl w:val="false"/>
        <w:spacing w:lineRule="auto" w:line="276" w:before="0" w:after="0"/>
        <w:rPr>
          <w:rFonts w:ascii="Times New Roman" w:hAnsi="Times New Roman"/>
          <w:color w:val="000000"/>
          <w:sz w:val="24"/>
          <w:szCs w:val="24"/>
          <w:lang w:val="de-AT"/>
        </w:rPr>
      </w:pPr>
      <w:r>
        <w:rPr>
          <w:rFonts w:ascii="Times New Roman" w:hAnsi="Times New Roman"/>
          <w:color w:val="000000"/>
          <w:sz w:val="24"/>
          <w:szCs w:val="24"/>
          <w:lang w:val="de-AT"/>
        </w:rPr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uzavírají podle zákona č. 500/2004 Sb., správní řád, ve znění pozdějších předpisů, zákona č. 250/2000 Sb., o rozpočtových pravidlech územních rozpočtů, ve znění pozdějších předpisů a zákona č. 89/2012 Sb., občanský zákoník, 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  <w:lang w:val="de-AT"/>
        </w:rPr>
      </w:pPr>
      <w:r>
        <w:rPr>
          <w:rFonts w:ascii="Times New Roman" w:hAnsi="Times New Roman"/>
          <w:color w:val="000000"/>
          <w:sz w:val="24"/>
          <w:szCs w:val="24"/>
          <w:lang w:val="de-AT"/>
        </w:rPr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tuto</w:t>
      </w:r>
    </w:p>
    <w:p>
      <w:pPr>
        <w:pStyle w:val="Normal"/>
        <w:widowControl w:val="false"/>
        <w:spacing w:lineRule="auto" w:line="276" w:before="0" w:after="0"/>
        <w:jc w:val="center"/>
        <w:rPr/>
      </w:pPr>
      <w:r>
        <w:rPr>
          <w:rFonts w:ascii="Times New Roman" w:hAnsi="Times New Roman"/>
          <w:b/>
          <w:color w:val="000000"/>
          <w:sz w:val="24"/>
          <w:szCs w:val="24"/>
        </w:rPr>
        <w:t>veřejnoprávní smlouvu o poskytnutí dotace č.  ….. /20....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  <w:lang w:val="de-AT"/>
        </w:rPr>
      </w:pPr>
      <w:r>
        <w:rPr>
          <w:rFonts w:ascii="Times New Roman" w:hAnsi="Times New Roman"/>
          <w:color w:val="000000"/>
          <w:sz w:val="24"/>
          <w:szCs w:val="24"/>
          <w:lang w:val="de-AT"/>
        </w:rPr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  <w:lang w:val="de-AT"/>
        </w:rPr>
      </w:pPr>
      <w:r>
        <w:rPr>
          <w:rFonts w:ascii="Times New Roman" w:hAnsi="Times New Roman"/>
          <w:color w:val="000000"/>
          <w:sz w:val="24"/>
          <w:szCs w:val="24"/>
          <w:lang w:val="de-AT"/>
        </w:rPr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  <w:lang w:val="de-AT"/>
        </w:rPr>
      </w:pPr>
      <w:r>
        <w:rPr>
          <w:rFonts w:ascii="Times New Roman" w:hAnsi="Times New Roman"/>
          <w:color w:val="000000"/>
          <w:sz w:val="24"/>
          <w:szCs w:val="24"/>
          <w:lang w:val="de-AT"/>
        </w:rPr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  <w:lang w:val="de-AT"/>
        </w:rPr>
      </w:pPr>
      <w:r>
        <w:rPr>
          <w:rFonts w:ascii="Times New Roman" w:hAnsi="Times New Roman"/>
          <w:color w:val="000000"/>
          <w:sz w:val="24"/>
          <w:szCs w:val="24"/>
          <w:lang w:val="de-AT"/>
        </w:rPr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II.</w:t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Předmět smlouvy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numPr>
          <w:ilvl w:val="0"/>
          <w:numId w:val="5"/>
        </w:numPr>
        <w:spacing w:lineRule="auto" w:line="276" w:before="0" w:after="0"/>
        <w:ind w:left="0" w:hanging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Poskytovatel se touto smlouvou zavazuje poskytnout příjemci na jeho účet </w:t>
        <w:tab/>
        <w:t xml:space="preserve">individuální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neinvestiční dotaci z rozpočtu obce ve výši ………..,- Kč</w:t>
      </w:r>
      <w:r>
        <w:rPr>
          <w:rFonts w:ascii="Times New Roman" w:hAnsi="Times New Roman"/>
          <w:color w:val="000000"/>
          <w:sz w:val="24"/>
          <w:szCs w:val="24"/>
        </w:rPr>
        <w:t xml:space="preserve"> (slovy:  </w:t>
        <w:tab/>
        <w:t>……... korun českých).</w:t>
      </w:r>
    </w:p>
    <w:p>
      <w:pPr>
        <w:pStyle w:val="Normal"/>
        <w:widowControl w:val="false"/>
        <w:numPr>
          <w:ilvl w:val="0"/>
          <w:numId w:val="5"/>
        </w:numPr>
        <w:spacing w:lineRule="auto" w:line="276" w:before="0" w:after="0"/>
        <w:ind w:left="0" w:hanging="0"/>
        <w:jc w:val="both"/>
        <w:rPr/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V souladu se Zásadami o poskytování individuálních dotací z rozpočtu obce, </w:t>
        <w:tab/>
        <w:t xml:space="preserve">schválených v ZO Kratonohy </w:t>
      </w:r>
      <w:r>
        <w:rPr>
          <w:rFonts w:ascii="Times New Roman" w:hAnsi="Times New Roman"/>
          <w:color w:val="00000A"/>
          <w:sz w:val="24"/>
          <w:szCs w:val="24"/>
          <w:lang w:val="en-US"/>
        </w:rPr>
        <w:t xml:space="preserve">dne 29.01.2019 pod č.usn. ……., je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otace poskytnuta </w:t>
        <w:tab/>
        <w:t xml:space="preserve">výhradně na ………………….. Z dotace nelze hradit mzdy, daně a odvody </w:t>
        <w:tab/>
        <w:t>z mezd, odměny, komerční a podnikatelské aktivity.</w:t>
      </w:r>
    </w:p>
    <w:p>
      <w:pPr>
        <w:pStyle w:val="Normal"/>
        <w:widowControl w:val="false"/>
        <w:numPr>
          <w:ilvl w:val="0"/>
          <w:numId w:val="5"/>
        </w:numPr>
        <w:spacing w:lineRule="auto" w:line="276" w:before="0" w:after="0"/>
        <w:ind w:left="0" w:hanging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Dotovaná činnost bude ukončena 30.11.20.…..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  <w:lang w:val="de-AT"/>
        </w:rPr>
      </w:pPr>
      <w:r>
        <w:rPr>
          <w:rFonts w:ascii="Times New Roman" w:hAnsi="Times New Roman"/>
          <w:color w:val="000000"/>
          <w:sz w:val="24"/>
          <w:szCs w:val="24"/>
          <w:lang w:val="de-AT"/>
        </w:rPr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  <w:lang w:val="de-AT"/>
        </w:rPr>
      </w:pPr>
      <w:r>
        <w:rPr>
          <w:rFonts w:ascii="Times New Roman" w:hAnsi="Times New Roman"/>
          <w:color w:val="000000"/>
          <w:sz w:val="24"/>
          <w:szCs w:val="24"/>
          <w:lang w:val="de-AT"/>
        </w:rPr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III.</w:t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Platební podmínky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Finanční prostředky budou příjemci poukázány jednou ročně formou bezhotovostního </w:t>
        <w:tab/>
        <w:t>převodu na bankovní účet uvedený v článku I této smlouvy.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ind w:left="0" w:hanging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>Platba bude poskytovatelem uhrazena v termínu do 31.3.20.…....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ind w:left="0" w:hanging="0"/>
        <w:jc w:val="both"/>
        <w:rPr/>
      </w:pPr>
      <w:r>
        <w:rPr>
          <w:rFonts w:cs="Arial" w:ascii="Times New Roman" w:hAnsi="Times New Roman"/>
          <w:color w:val="000000"/>
          <w:sz w:val="24"/>
          <w:szCs w:val="24"/>
        </w:rPr>
        <w:t xml:space="preserve">Finanční prostředky lze použít na úhradu nákladů vzniklých v období od 1.1.20.…. do </w:t>
        <w:tab/>
        <w:t xml:space="preserve">30.11.20……. vztahujících se ke stanovenému účelu poskytnutí, které budou uhrazeny </w:t>
        <w:tab/>
        <w:t xml:space="preserve">nejpozději do 30.11.20….... </w:t>
      </w:r>
    </w:p>
    <w:p>
      <w:pPr>
        <w:pStyle w:val="Normal"/>
        <w:widowControl w:val="false"/>
        <w:numPr>
          <w:ilvl w:val="0"/>
          <w:numId w:val="1"/>
        </w:numPr>
        <w:spacing w:lineRule="auto" w:line="276" w:before="0" w:after="0"/>
        <w:ind w:left="0" w:hanging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Vyúčtování provede příjemce dotace v termínu do 30.11.20….. předložením platných </w:t>
        <w:tab/>
        <w:t>účetních dokladů a dokladů o zaplacení.</w:t>
      </w:r>
    </w:p>
    <w:p>
      <w:pPr>
        <w:pStyle w:val="Normal"/>
        <w:widowControl w:val="false"/>
        <w:spacing w:lineRule="auto" w:line="276" w:before="0" w:after="0"/>
        <w:ind w:left="360" w:hanging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widowControl w:val="false"/>
        <w:spacing w:lineRule="auto" w:line="276" w:before="0" w:after="0"/>
        <w:ind w:left="360" w:hanging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widowControl w:val="false"/>
        <w:spacing w:lineRule="auto" w:line="276" w:before="0" w:after="0"/>
        <w:ind w:left="36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IV.</w:t>
      </w:r>
    </w:p>
    <w:p>
      <w:pPr>
        <w:pStyle w:val="Normal"/>
        <w:widowControl w:val="false"/>
        <w:spacing w:lineRule="auto" w:line="276" w:before="0" w:after="0"/>
        <w:ind w:left="36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Povinnosti příjemce dotace</w:t>
      </w:r>
    </w:p>
    <w:p>
      <w:pPr>
        <w:pStyle w:val="ListParagraph"/>
        <w:widowControl w:val="false"/>
        <w:spacing w:lineRule="auto" w:line="276"/>
        <w:jc w:val="both"/>
        <w:rPr>
          <w:rFonts w:ascii="Times New Roman" w:hAnsi="Times New Roman" w:cs="Arial"/>
          <w:color w:val="000000"/>
          <w:sz w:val="24"/>
          <w:szCs w:val="24"/>
          <w:highlight w:val="yellow"/>
        </w:rPr>
      </w:pPr>
      <w:r>
        <w:rPr>
          <w:rFonts w:cs="Arial" w:ascii="Times New Roman" w:hAnsi="Times New Roman"/>
          <w:color w:val="000000"/>
          <w:sz w:val="24"/>
          <w:szCs w:val="24"/>
          <w:highlight w:val="yellow"/>
        </w:rPr>
      </w:r>
    </w:p>
    <w:p>
      <w:pPr>
        <w:pStyle w:val="Normal"/>
        <w:widowControl w:val="false"/>
        <w:numPr>
          <w:ilvl w:val="0"/>
          <w:numId w:val="2"/>
        </w:numPr>
        <w:spacing w:lineRule="auto" w:line="276" w:before="0" w:after="0"/>
        <w:ind w:left="0" w:firstLine="142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Příjemce je povinen vyúčtovat dotaci poskytovateli, zastoupeného starostou nebo </w:t>
        <w:tab/>
        <w:t xml:space="preserve">místostarostou a účetní obce, předložením kopií platných účetních a dalších dokladů </w:t>
        <w:tab/>
        <w:t xml:space="preserve">prokazujících její čerpání. </w:t>
      </w:r>
      <w:r>
        <w:rPr>
          <w:rFonts w:cs="Arial" w:ascii="Times New Roman" w:hAnsi="Times New Roman"/>
          <w:color w:val="000000"/>
          <w:sz w:val="24"/>
          <w:szCs w:val="24"/>
        </w:rPr>
        <w:t xml:space="preserve">V termínu pro předložení vyúčtování vrátí příjemce </w:t>
        <w:tab/>
        <w:t>nevyčerpané finanční prostředky na</w:t>
      </w:r>
      <w:bookmarkStart w:id="0" w:name="_GoBack1"/>
      <w:bookmarkEnd w:id="0"/>
      <w:r>
        <w:rPr>
          <w:rFonts w:cs="Arial" w:ascii="Times New Roman" w:hAnsi="Times New Roman"/>
          <w:color w:val="000000"/>
          <w:sz w:val="24"/>
          <w:szCs w:val="24"/>
        </w:rPr>
        <w:t xml:space="preserve"> účet poskytovatele </w:t>
      </w:r>
      <w:r>
        <w:rPr>
          <w:rFonts w:cs="Arial" w:ascii="Times New Roman" w:hAnsi="Times New Roman"/>
          <w:color w:val="000000"/>
          <w:sz w:val="24"/>
          <w:szCs w:val="24"/>
        </w:rPr>
        <w:t xml:space="preserve">uvedený v článku I této </w:t>
        <w:tab/>
        <w:t>smlouvy</w:t>
      </w:r>
      <w:r>
        <w:rPr>
          <w:rFonts w:cs="Arial" w:ascii="Times New Roman" w:hAnsi="Times New Roman"/>
          <w:color w:val="000000"/>
          <w:sz w:val="24"/>
          <w:szCs w:val="24"/>
        </w:rPr>
        <w:t xml:space="preserve">. Vrácení prostředků nezakládá právo příjemce na dočerpání finančních </w:t>
        <w:tab/>
        <w:t>prostředků v následujícím roce.</w:t>
      </w:r>
    </w:p>
    <w:p>
      <w:pPr>
        <w:pStyle w:val="Normal"/>
        <w:widowControl w:val="false"/>
        <w:numPr>
          <w:ilvl w:val="0"/>
          <w:numId w:val="2"/>
        </w:numPr>
        <w:spacing w:lineRule="auto" w:line="276" w:before="0" w:after="0"/>
        <w:ind w:left="0" w:firstLine="142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Pokud poskytovatel neshledá v předloženém vyúčtování nedostatky či nesrovnalosti, </w:t>
        <w:tab/>
        <w:t xml:space="preserve">vyúčtování schválí a poskytne příjemci příslušné finanční prostředky. V opačném </w:t>
        <w:tab/>
        <w:t>případě vyzve příjemce k odstranění nedostatků či nesrovnalostí ve lhůtě do 10 dnů.</w:t>
      </w:r>
    </w:p>
    <w:p>
      <w:pPr>
        <w:pStyle w:val="Normal"/>
        <w:widowControl w:val="false"/>
        <w:numPr>
          <w:ilvl w:val="0"/>
          <w:numId w:val="2"/>
        </w:numPr>
        <w:spacing w:lineRule="auto" w:line="276" w:before="0" w:after="0"/>
        <w:ind w:left="0" w:firstLine="142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V případě, že příjemce nedodá adekvátní účetní doklady, budou poskytnuté finanční </w:t>
        <w:tab/>
        <w:t xml:space="preserve">prostředky v rámci dotačního řízení považovány za neuznatelné výdaje. V takovém </w:t>
        <w:tab/>
        <w:t xml:space="preserve">případě je příjemce povinen vrátit relevantní částku dotace poskytovateli do 14 dnů </w:t>
        <w:tab/>
        <w:t>ode dne obdržení oznámení poskytovatelem.</w:t>
      </w:r>
    </w:p>
    <w:p>
      <w:pPr>
        <w:pStyle w:val="Normal"/>
        <w:widowControl w:val="false"/>
        <w:numPr>
          <w:ilvl w:val="0"/>
          <w:numId w:val="2"/>
        </w:numPr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Příjemce je povinen informovat poskytovatele o všech okolnostech, které by mohly </w:t>
        <w:tab/>
        <w:t xml:space="preserve">mít vliv na plnění povinnosti příjemce podle této smlouvy. </w:t>
      </w:r>
    </w:p>
    <w:p>
      <w:pPr>
        <w:pStyle w:val="Normal"/>
        <w:widowControl w:val="false"/>
        <w:numPr>
          <w:ilvl w:val="0"/>
          <w:numId w:val="2"/>
        </w:numPr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Příjemce není oprávněn převést poskytnutou dotaci na jiný subjekt, ani převést </w:t>
        <w:tab/>
        <w:t xml:space="preserve">vlastnické právo k majetku pořízenému byť i jen částečně z finančních prostředků </w:t>
        <w:tab/>
        <w:t xml:space="preserve">získaných podle této smlouvy na třetí osobu, případně zřídit k tomuto majetku zástavní </w:t>
        <w:tab/>
        <w:t>právo.</w:t>
      </w:r>
    </w:p>
    <w:p>
      <w:pPr>
        <w:pStyle w:val="Normal"/>
        <w:widowControl w:val="false"/>
        <w:numPr>
          <w:ilvl w:val="0"/>
          <w:numId w:val="2"/>
        </w:numPr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Příjemce se zavazuje při jakékoliv prezentaci dotovaného projektu uvádět obec jako </w:t>
        <w:tab/>
        <w:t xml:space="preserve">poskytovatele části finančních prostředků. Za tímto účelem je oprávněn použít znak </w:t>
        <w:tab/>
        <w:t xml:space="preserve">nebo logo poskytovatele. </w:t>
      </w:r>
    </w:p>
    <w:p>
      <w:pPr>
        <w:pStyle w:val="Normal"/>
        <w:widowControl w:val="false"/>
        <w:numPr>
          <w:ilvl w:val="0"/>
          <w:numId w:val="2"/>
        </w:numPr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Příjemce je povinen poskytovateli oznámit přeměnu společnosti, zrušení společnosti, </w:t>
        <w:tab/>
        <w:t xml:space="preserve">změnu právní formy, zahájení konkurzního řízení, vstup do likvidace, změnu </w:t>
        <w:tab/>
        <w:t xml:space="preserve">statutárního orgánu a změny související s činností, na kterou se dotace poskytuje, a to </w:t>
        <w:tab/>
        <w:t>vše do 15 dnů ode dne rozhodnutí o změně.</w:t>
      </w:r>
    </w:p>
    <w:p>
      <w:pPr>
        <w:pStyle w:val="Normal"/>
        <w:widowControl w:val="false"/>
        <w:numPr>
          <w:ilvl w:val="0"/>
          <w:numId w:val="2"/>
        </w:numPr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Doklady prokazující použití dotace musí být viditelně označeny "Hrazeno z dotace </w:t>
        <w:tab/>
        <w:t xml:space="preserve">obce Kratonohy". Příjemce je povinen uchovávat odpovídajícím způsobem, po dobu 5 </w:t>
        <w:tab/>
        <w:t xml:space="preserve">let od ukončení dotovaného projektu, veškeré účetní doklady a dokumenty související </w:t>
        <w:tab/>
        <w:t xml:space="preserve">s realizací dotovaného projektu. </w:t>
      </w:r>
    </w:p>
    <w:p>
      <w:pPr>
        <w:pStyle w:val="Normal"/>
        <w:widowControl w:val="false"/>
        <w:numPr>
          <w:ilvl w:val="0"/>
          <w:numId w:val="2"/>
        </w:numPr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 souladu se zákonem č. 320/2001 Sb., o finanční kontrole, ve znění pozdějších </w:t>
        <w:tab/>
        <w:t xml:space="preserve">předpisů, může být provedena u příjemce veřejnoprávní kontrola (následná). Příjemce </w:t>
        <w:tab/>
        <w:t xml:space="preserve">je povinen vytvořit podmínky k provedení kontroly, poskytnout veškeré doklady vážící </w:t>
        <w:tab/>
        <w:t xml:space="preserve">se k dotovanému projektu a poskytnout součinnost všem osobám oprávněným k </w:t>
        <w:tab/>
        <w:t xml:space="preserve">provádění kontroly. </w:t>
      </w:r>
    </w:p>
    <w:p>
      <w:pPr>
        <w:pStyle w:val="Normal"/>
        <w:widowControl w:val="false"/>
        <w:numPr>
          <w:ilvl w:val="0"/>
          <w:numId w:val="2"/>
        </w:numPr>
        <w:spacing w:lineRule="auto" w:line="276" w:before="0" w:after="0"/>
        <w:ind w:left="0" w:hanging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Příjemce se zavazuje k provedení těchto činností: </w:t>
      </w:r>
      <w:r>
        <w:rPr>
          <w:rFonts w:ascii="Times New Roman" w:hAnsi="Times New Roman"/>
          <w:bCs/>
          <w:color w:val="000000"/>
          <w:sz w:val="24"/>
          <w:szCs w:val="24"/>
        </w:rPr>
        <w:t>…………………………………….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.</w:t>
      </w:r>
    </w:p>
    <w:p>
      <w:pPr>
        <w:pStyle w:val="ListParagraph"/>
        <w:spacing w:lineRule="auto" w:line="276"/>
        <w:rPr>
          <w:rFonts w:ascii="Times New Roman" w:hAnsi="Times New Roman"/>
          <w:i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ListParagraph"/>
        <w:spacing w:lineRule="auto" w:line="276"/>
        <w:rPr>
          <w:rFonts w:ascii="Times New Roman" w:hAnsi="Times New Roman"/>
          <w:i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V.</w:t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Ukončení smlouvy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/>
          <w:b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</w:r>
    </w:p>
    <w:p>
      <w:pPr>
        <w:pStyle w:val="Normal"/>
        <w:widowControl w:val="false"/>
        <w:numPr>
          <w:ilvl w:val="0"/>
          <w:numId w:val="3"/>
        </w:numPr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Tuto smlouvu lze ukončit písemnou dohodou smluvních stran nebo písemnou </w:t>
        <w:tab/>
        <w:t>výpovědí.</w:t>
      </w:r>
    </w:p>
    <w:p>
      <w:pPr>
        <w:pStyle w:val="Normal"/>
        <w:widowControl w:val="false"/>
        <w:numPr>
          <w:ilvl w:val="0"/>
          <w:numId w:val="3"/>
        </w:numPr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Výpověď smlouvy musí být učiněna písemně a musí v ní být uvedeny důvody jejího </w:t>
        <w:tab/>
        <w:t>udělení.</w:t>
      </w:r>
    </w:p>
    <w:p>
      <w:pPr>
        <w:pStyle w:val="Normal"/>
        <w:widowControl w:val="false"/>
        <w:numPr>
          <w:ilvl w:val="0"/>
          <w:numId w:val="3"/>
        </w:numPr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Poskytovatel může tuto smlouvu vypovědět jak před proplacením, tak i po proplacení </w:t>
        <w:tab/>
        <w:t xml:space="preserve">dotace. </w:t>
      </w:r>
    </w:p>
    <w:p>
      <w:pPr>
        <w:pStyle w:val="Normal"/>
        <w:widowControl w:val="false"/>
        <w:numPr>
          <w:ilvl w:val="0"/>
          <w:numId w:val="3"/>
        </w:numPr>
        <w:spacing w:lineRule="auto" w:line="276" w:before="0" w:after="0"/>
        <w:ind w:left="0" w:hanging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Výpovědním důvodem je porušení povinnosti příjemce stanovených touto smlouvou </w:t>
        <w:tab/>
        <w:t>nebo obecně závaznými předpisy, kterého se příjemce dopustí zejména pokud:</w:t>
      </w:r>
    </w:p>
    <w:p>
      <w:pPr>
        <w:pStyle w:val="Normal"/>
        <w:widowControl w:val="false"/>
        <w:numPr>
          <w:ilvl w:val="1"/>
          <w:numId w:val="3"/>
        </w:numPr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svým jednáním poruší rozpočtovou kázeň,</w:t>
      </w:r>
    </w:p>
    <w:p>
      <w:pPr>
        <w:pStyle w:val="Normal"/>
        <w:widowControl w:val="false"/>
        <w:numPr>
          <w:ilvl w:val="1"/>
          <w:numId w:val="3"/>
        </w:numPr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nedodrží časový a finanční harmonogram realizace dotovaného projektu,</w:t>
      </w:r>
    </w:p>
    <w:p>
      <w:pPr>
        <w:pStyle w:val="Normal"/>
        <w:widowControl w:val="false"/>
        <w:numPr>
          <w:ilvl w:val="1"/>
          <w:numId w:val="3"/>
        </w:numPr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převede vlastnické právo k majetku na třetí osobu bez souhlasu poskytovatel, příp. </w:t>
        <w:tab/>
        <w:t>zřídí k tomuto majetku zástavní právo,</w:t>
      </w:r>
    </w:p>
    <w:p>
      <w:pPr>
        <w:pStyle w:val="Normal"/>
        <w:widowControl w:val="false"/>
        <w:numPr>
          <w:ilvl w:val="1"/>
          <w:numId w:val="3"/>
        </w:numPr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změní svou právní formu a stane se tak nezpůsobilým příjemcem dotace.</w:t>
      </w:r>
    </w:p>
    <w:p>
      <w:pPr>
        <w:pStyle w:val="Normal"/>
        <w:widowControl w:val="false"/>
        <w:numPr>
          <w:ilvl w:val="1"/>
          <w:numId w:val="3"/>
        </w:numPr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on sám, případně jako právnická osoba či některá z osob tvořících statutární orgán </w:t>
        <w:tab/>
        <w:t xml:space="preserve">příjemce dotace odsouzen/a za trestný čin, jehož skutková podstata souvisí s </w:t>
        <w:tab/>
        <w:t xml:space="preserve">předmětem podnikání nebo činnosti příjemce dotace, nebo pro trestný čin </w:t>
        <w:tab/>
        <w:t xml:space="preserve">hospodářský, anebo trestný čin proti majetku ve smyslu zákona č. 40/2009 Sb., trestní </w:t>
        <w:tab/>
        <w:t xml:space="preserve">zákoník, ve znění pozdějších předpisů a zákona č. 418/2011 Sb., o trestní </w:t>
        <w:tab/>
        <w:t>odpovědnosti právnických osob, ve znění pozdějších předpisů,</w:t>
      </w:r>
    </w:p>
    <w:p>
      <w:pPr>
        <w:pStyle w:val="Normal"/>
        <w:widowControl w:val="false"/>
        <w:numPr>
          <w:ilvl w:val="1"/>
          <w:numId w:val="3"/>
        </w:numPr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nedodrží termíny stanovené v této smlouvě pro zahájení a ukončení projektu,</w:t>
      </w:r>
    </w:p>
    <w:p>
      <w:pPr>
        <w:pStyle w:val="Normal"/>
        <w:widowControl w:val="false"/>
        <w:numPr>
          <w:ilvl w:val="1"/>
          <w:numId w:val="3"/>
        </w:numPr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</w:rPr>
        <w:t xml:space="preserve">bylo zahájeno insolvenční řízení podle zákona č. 182/2006 Sb., o úpadku a způsobech </w:t>
        <w:tab/>
        <w:t>jeho řešení, ve znění pozdějších předpisů,</w:t>
      </w:r>
      <w:r>
        <w:rPr>
          <w:rFonts w:cs="Arial" w:ascii="Times New Roman" w:hAnsi="Times New Roman"/>
          <w:i/>
          <w:color w:val="00B050"/>
          <w:sz w:val="24"/>
          <w:szCs w:val="24"/>
        </w:rPr>
        <w:t xml:space="preserve"> </w:t>
      </w:r>
    </w:p>
    <w:p>
      <w:pPr>
        <w:pStyle w:val="Normal"/>
        <w:widowControl w:val="false"/>
        <w:numPr>
          <w:ilvl w:val="1"/>
          <w:numId w:val="3"/>
        </w:numPr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pravomocně rozhodnuto o jeho úpadku, o prohlášení konkurzu nebo o jeho zrušení </w:t>
        <w:tab/>
        <w:t>likvidací,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h) </w:t>
        <w:tab/>
        <w:t xml:space="preserve">přes písemnou výzvu poskytovatele nezanechá porušování jiných povinností </w:t>
        <w:tab/>
        <w:t>stanovených v této smlouvě,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</w:t>
        <w:tab/>
        <w:t>příjemce uvedl do žádosti (do smlouvy) neúplné, zkreslené nebo nepravdivé údaje.</w:t>
      </w:r>
    </w:p>
    <w:p>
      <w:pPr>
        <w:pStyle w:val="Normal"/>
        <w:widowControl w:val="false"/>
        <w:numPr>
          <w:ilvl w:val="0"/>
          <w:numId w:val="3"/>
        </w:numPr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 případě výpovědi této smlouvy před proplacením dotace, nárok na vyplacení dotace </w:t>
        <w:tab/>
        <w:t xml:space="preserve">nevzniká a nelze se jej platně domáhat. </w:t>
      </w:r>
    </w:p>
    <w:p>
      <w:pPr>
        <w:pStyle w:val="Normal"/>
        <w:widowControl w:val="false"/>
        <w:numPr>
          <w:ilvl w:val="0"/>
          <w:numId w:val="3"/>
        </w:numPr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Účinky výpovědi nastávají dnem uplynutí výpovědní lhůty za podmínky, že příjemce </w:t>
        <w:tab/>
        <w:t xml:space="preserve">dotace vrátí poskytnuté peněžní prostředky před jejím uplynutím. Jinak k ukončení </w:t>
        <w:tab/>
        <w:t xml:space="preserve">smlouvy dojde až vypořádáním všech práv a povinností smluvních stran. </w:t>
      </w:r>
    </w:p>
    <w:p>
      <w:pPr>
        <w:pStyle w:val="Normal"/>
        <w:widowControl w:val="false"/>
        <w:numPr>
          <w:ilvl w:val="0"/>
          <w:numId w:val="3"/>
        </w:numPr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Příjemce je oprávněn tuto smlouvu kdykoliv písemně vypovědět nejpozději však do </w:t>
        <w:tab/>
        <w:t xml:space="preserve">konce lhůty pro podání vyúčtování, přičemž výpověď je účinná dnem jejího doručení </w:t>
        <w:tab/>
        <w:t xml:space="preserve">poskytovateli. V takovém případě je příjemce povinen vrátit poskytnutou částku </w:t>
        <w:tab/>
        <w:t xml:space="preserve">dotace poskytovateli do 14 dnů ode dne účinnosti výpovědi.  </w:t>
      </w:r>
    </w:p>
    <w:p>
      <w:pPr>
        <w:pStyle w:val="Normal"/>
        <w:widowControl w:val="false"/>
        <w:numPr>
          <w:ilvl w:val="0"/>
          <w:numId w:val="3"/>
        </w:numPr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Výpovědní lhůta činí 1 měsíc a začne běžet od prvního dne měsíce následujícího po </w:t>
        <w:tab/>
        <w:t xml:space="preserve">měsíci, v němž byla výpověď doručena příjemci. Účinky doručení pro účely této </w:t>
        <w:tab/>
        <w:t xml:space="preserve">smlouvy však nastávají i tehdy, pokud příjemce svým jednáním nebo opomenutím </w:t>
        <w:tab/>
        <w:t>doručení zmařil.</w:t>
      </w:r>
    </w:p>
    <w:p>
      <w:pPr>
        <w:pStyle w:val="Normal"/>
        <w:widowControl w:val="false"/>
        <w:numPr>
          <w:ilvl w:val="0"/>
          <w:numId w:val="3"/>
        </w:numPr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Pokud smlouva zaniká z důvodů uvedených v § 167 zákona č. 500/2004 Sb., správní </w:t>
        <w:tab/>
        <w:t xml:space="preserve">řád, ve znění pozdějších předpisů, musí být návrh na zrušení smlouvy učiněn písemně </w:t>
        <w:tab/>
        <w:t>a musí v něm být uvedeny důvody vedoucí k zániku této smlouvy.</w:t>
      </w:r>
    </w:p>
    <w:p>
      <w:pPr>
        <w:pStyle w:val="ListParagraph"/>
        <w:spacing w:lineRule="auto" w:line="276"/>
        <w:ind w:left="720" w:hanging="0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ListParagraph"/>
        <w:spacing w:lineRule="auto" w:line="276"/>
        <w:ind w:left="720" w:hanging="0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VI.</w:t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Závěrečná ustanovení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widowControl w:val="false"/>
        <w:numPr>
          <w:ilvl w:val="0"/>
          <w:numId w:val="4"/>
        </w:numPr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Tato smlouva nabývá platnosti dnem podpisu oběma smluvními stranami.</w:t>
      </w:r>
    </w:p>
    <w:p>
      <w:pPr>
        <w:pStyle w:val="Normal"/>
        <w:widowControl w:val="false"/>
        <w:numPr>
          <w:ilvl w:val="0"/>
          <w:numId w:val="4"/>
        </w:numPr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Práva a povinnosti touto smlouvou výslovně neupravené se řídí příslušnými </w:t>
        <w:tab/>
        <w:t xml:space="preserve">ustanoveními zákona č. 500/2004 Sb., správní řád, ve znění pozdějších předpisů, </w:t>
        <w:tab/>
        <w:t xml:space="preserve">zákona č. 250/2000 Sb., o rozpočtových pravidlech územních rozpočtů, ve znění </w:t>
        <w:tab/>
        <w:t xml:space="preserve">pozdějších předpisů a zákona č. 89/2012 Sb., občanský zákoník a dalšími právními </w:t>
        <w:tab/>
        <w:t>předpisy.</w:t>
      </w:r>
    </w:p>
    <w:p>
      <w:pPr>
        <w:pStyle w:val="Normal"/>
        <w:widowControl w:val="false"/>
        <w:numPr>
          <w:ilvl w:val="0"/>
          <w:numId w:val="4"/>
        </w:numPr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 úkonům podle této smlouvy jménem poskytovatele se pověřuje starosta obce.</w:t>
      </w:r>
    </w:p>
    <w:p>
      <w:pPr>
        <w:pStyle w:val="Normal"/>
        <w:widowControl w:val="false"/>
        <w:numPr>
          <w:ilvl w:val="0"/>
          <w:numId w:val="4"/>
        </w:numPr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Veškeré změny a doplňky jednotlivých ustanovení této smlouvy mohou být provedeny </w:t>
        <w:tab/>
        <w:t>pouze formou písemného dodatku podepsaného oběma účastníky.</w:t>
      </w:r>
    </w:p>
    <w:p>
      <w:pPr>
        <w:pStyle w:val="Normal"/>
        <w:widowControl w:val="false"/>
        <w:numPr>
          <w:ilvl w:val="0"/>
          <w:numId w:val="4"/>
        </w:numPr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Účastníci prohlašují, že tuto smlouvu uzavřeli na základě své pravé a svobodné vůle, </w:t>
        <w:tab/>
        <w:t xml:space="preserve">že při jejím uzavírání nejednali v tísni či za nevýhodných podmínek, smlouvu si řádně </w:t>
        <w:tab/>
        <w:t>přečetli a s jejím obsahem plně souhlasí, což stvrzují svými vlastnoručními podpisy.</w:t>
      </w:r>
    </w:p>
    <w:p>
      <w:pPr>
        <w:pStyle w:val="Normal"/>
        <w:widowControl w:val="false"/>
        <w:numPr>
          <w:ilvl w:val="0"/>
          <w:numId w:val="4"/>
        </w:numPr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Tato smlouva byla uzavřena v souladu s platnými Zásadami pro poskytování </w:t>
        <w:tab/>
        <w:t xml:space="preserve">individuálních dotací z rozpočtu obce Kratonohy schválenými usnesením </w:t>
        <w:tab/>
        <w:t>zastupitelstva obce Kratonohy č. …….. ze dne 29.01.2019.</w:t>
      </w:r>
    </w:p>
    <w:p>
      <w:pPr>
        <w:pStyle w:val="Normal"/>
        <w:widowControl w:val="false"/>
        <w:numPr>
          <w:ilvl w:val="0"/>
          <w:numId w:val="4"/>
        </w:numPr>
        <w:spacing w:lineRule="auto" w:line="276" w:before="0" w:after="0"/>
        <w:ind w:left="0" w:hanging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Tato smlouva byla schválena usnesením zastupitelstva obce Kratonohy                                    </w:t>
        <w:tab/>
        <w:t xml:space="preserve">č. ……….. přijatým  na …. veřejném zasedání zastupitelstva obce Kratonohy dne </w:t>
        <w:tab/>
        <w:t>…………….</w:t>
      </w:r>
    </w:p>
    <w:p>
      <w:pPr>
        <w:pStyle w:val="Normal"/>
        <w:widowControl w:val="false"/>
        <w:numPr>
          <w:ilvl w:val="0"/>
          <w:numId w:val="4"/>
        </w:numPr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Tato smlouva je sepsána ve třech vyhotoveních s platností originálu, přičemž </w:t>
        <w:tab/>
        <w:t xml:space="preserve">poskytovatel obdrží 2 vyhotovení a příjemce obdrží 1 vyhotovení. 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 Kratonohách dne  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widowControl w:val="false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....................................................   </w:t>
        <w:tab/>
        <w:tab/>
        <w:tab/>
        <w:tab/>
        <w:t>.......................................................</w:t>
      </w:r>
    </w:p>
    <w:p>
      <w:pPr>
        <w:pStyle w:val="Normal"/>
        <w:spacing w:lineRule="auto" w:line="276" w:before="0" w:after="200"/>
        <w:rPr/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příjemce                                                                                          poskytovatel</w:t>
      </w:r>
    </w:p>
    <w:sectPr>
      <w:footerReference w:type="default" r:id="rId2"/>
      <w:type w:val="nextPage"/>
      <w:pgSz w:w="11906" w:h="16781"/>
      <w:pgMar w:left="1417" w:right="1417" w:header="0" w:top="1134" w:footer="1134" w:bottom="169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spacing w:before="0" w:after="200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i w:val="false"/>
        <w:b/>
        <w:szCs w:val="24"/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86" w:hanging="360"/>
      </w:pPr>
      <w:rPr>
        <w:sz w:val="24"/>
        <w:i w:val="false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4"/>
        <w:i w:val="false"/>
        <w:b/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4"/>
        <w:i w:val="false"/>
        <w:b/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b/>
        <w:szCs w:val="24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b/>
        <w:szCs w:val="24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b/>
        <w:szCs w:val="24"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b/>
        <w:szCs w:val="24"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b/>
        <w:szCs w:val="24"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b/>
        <w:szCs w:val="24"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b/>
        <w:szCs w:val="24"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b/>
        <w:szCs w:val="24"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b/>
        <w:szCs w:val="24"/>
        <w:bCs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5826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ascii="Times New Roman" w:hAnsi="Times New Roman"/>
      <w:b/>
      <w:i w:val="false"/>
      <w:sz w:val="24"/>
    </w:rPr>
  </w:style>
  <w:style w:type="character" w:styleId="ListLabel2" w:customStyle="1">
    <w:name w:val="ListLabel 2"/>
    <w:qFormat/>
    <w:rPr>
      <w:rFonts w:ascii="Times New Roman" w:hAnsi="Times New Roman"/>
      <w:b/>
      <w:i w:val="false"/>
      <w:sz w:val="24"/>
    </w:rPr>
  </w:style>
  <w:style w:type="character" w:styleId="ListLabel3" w:customStyle="1">
    <w:name w:val="ListLabel 3"/>
    <w:qFormat/>
    <w:rPr>
      <w:rFonts w:ascii="Times New Roman" w:hAnsi="Times New Roman"/>
      <w:b/>
      <w:i w:val="false"/>
      <w:sz w:val="24"/>
    </w:rPr>
  </w:style>
  <w:style w:type="character" w:styleId="ListLabel4" w:customStyle="1">
    <w:name w:val="ListLabel 4"/>
    <w:qFormat/>
    <w:rPr>
      <w:rFonts w:ascii="Times New Roman" w:hAnsi="Times New Roman"/>
      <w:b/>
      <w:i w:val="false"/>
      <w:sz w:val="24"/>
    </w:rPr>
  </w:style>
  <w:style w:type="character" w:styleId="ListLabel5" w:customStyle="1">
    <w:name w:val="ListLabel 5"/>
    <w:qFormat/>
    <w:rPr>
      <w:rFonts w:ascii="Times New Roman" w:hAnsi="Times New Roman"/>
      <w:b/>
      <w:i w:val="false"/>
      <w:sz w:val="24"/>
    </w:rPr>
  </w:style>
  <w:style w:type="character" w:styleId="ListLabel6" w:customStyle="1">
    <w:name w:val="ListLabel 6"/>
    <w:qFormat/>
    <w:rPr>
      <w:rFonts w:ascii="Times New Roman" w:hAnsi="Times New Roman"/>
      <w:b/>
      <w:i w:val="false"/>
      <w:sz w:val="24"/>
    </w:rPr>
  </w:style>
  <w:style w:type="character" w:styleId="ListLabel7" w:customStyle="1">
    <w:name w:val="ListLabel 7"/>
    <w:qFormat/>
    <w:rPr>
      <w:rFonts w:ascii="Times New Roman" w:hAnsi="Times New Roman"/>
      <w:b/>
      <w:i w:val="false"/>
      <w:sz w:val="24"/>
    </w:rPr>
  </w:style>
  <w:style w:type="character" w:styleId="ListLabel8" w:customStyle="1">
    <w:name w:val="ListLabel 8"/>
    <w:qFormat/>
    <w:rPr>
      <w:rFonts w:ascii="Times New Roman" w:hAnsi="Times New Roman"/>
      <w:b/>
      <w:i w:val="false"/>
      <w:sz w:val="24"/>
    </w:rPr>
  </w:style>
  <w:style w:type="character" w:styleId="ListLabel9" w:customStyle="1">
    <w:name w:val="ListLabel 9"/>
    <w:qFormat/>
    <w:rPr>
      <w:rFonts w:ascii="Times New Roman" w:hAnsi="Times New Roman"/>
      <w:b/>
      <w:i w:val="false"/>
      <w:sz w:val="24"/>
    </w:rPr>
  </w:style>
  <w:style w:type="character" w:styleId="ListLabel10" w:customStyle="1">
    <w:name w:val="ListLabel 10"/>
    <w:qFormat/>
    <w:rPr>
      <w:rFonts w:ascii="Times New Roman" w:hAnsi="Times New Roman"/>
      <w:b/>
      <w:i w:val="false"/>
      <w:sz w:val="24"/>
    </w:rPr>
  </w:style>
  <w:style w:type="character" w:styleId="ListLabel11" w:customStyle="1">
    <w:name w:val="ListLabel 11"/>
    <w:qFormat/>
    <w:rPr>
      <w:b/>
      <w:i w:val="false"/>
      <w:sz w:val="24"/>
    </w:rPr>
  </w:style>
  <w:style w:type="character" w:styleId="ListLabel12" w:customStyle="1">
    <w:name w:val="ListLabel 12"/>
    <w:qFormat/>
    <w:rPr>
      <w:b/>
      <w:i w:val="false"/>
      <w:sz w:val="24"/>
    </w:rPr>
  </w:style>
  <w:style w:type="character" w:styleId="ListLabel13" w:customStyle="1">
    <w:name w:val="ListLabel 13"/>
    <w:qFormat/>
    <w:rPr>
      <w:rFonts w:ascii="Times New Roman" w:hAnsi="Times New Roman"/>
      <w:b/>
      <w:i w:val="false"/>
      <w:sz w:val="24"/>
    </w:rPr>
  </w:style>
  <w:style w:type="character" w:styleId="ListLabel14" w:customStyle="1">
    <w:name w:val="ListLabel 14"/>
    <w:qFormat/>
    <w:rPr>
      <w:rFonts w:ascii="Times New Roman" w:hAnsi="Times New Roman"/>
      <w:b/>
      <w:i w:val="false"/>
      <w:sz w:val="24"/>
    </w:rPr>
  </w:style>
  <w:style w:type="character" w:styleId="ListLabel15" w:customStyle="1">
    <w:name w:val="ListLabel 15"/>
    <w:qFormat/>
    <w:rPr>
      <w:rFonts w:ascii="Times New Roman" w:hAnsi="Times New Roman"/>
      <w:b/>
      <w:i w:val="false"/>
      <w:sz w:val="24"/>
    </w:rPr>
  </w:style>
  <w:style w:type="character" w:styleId="ListLabel16" w:customStyle="1">
    <w:name w:val="ListLabel 16"/>
    <w:qFormat/>
    <w:rPr>
      <w:b/>
      <w:i w:val="false"/>
      <w:sz w:val="24"/>
    </w:rPr>
  </w:style>
  <w:style w:type="character" w:styleId="ListLabel17" w:customStyle="1">
    <w:name w:val="ListLabel 17"/>
    <w:qFormat/>
    <w:rPr>
      <w:b/>
      <w:i w:val="false"/>
      <w:sz w:val="24"/>
    </w:rPr>
  </w:style>
  <w:style w:type="character" w:styleId="ListLabel18" w:customStyle="1">
    <w:name w:val="ListLabel 18"/>
    <w:qFormat/>
    <w:rPr>
      <w:rFonts w:ascii="Times New Roman" w:hAnsi="Times New Roman"/>
      <w:b/>
      <w:i w:val="false"/>
      <w:sz w:val="24"/>
    </w:rPr>
  </w:style>
  <w:style w:type="character" w:styleId="ListLabel19" w:customStyle="1">
    <w:name w:val="ListLabel 19"/>
    <w:qFormat/>
    <w:rPr>
      <w:rFonts w:ascii="Times New Roman" w:hAnsi="Times New Roman"/>
      <w:b/>
      <w:i w:val="false"/>
      <w:sz w:val="24"/>
    </w:rPr>
  </w:style>
  <w:style w:type="character" w:styleId="ListLabel20" w:customStyle="1">
    <w:name w:val="ListLabel 20"/>
    <w:qFormat/>
    <w:rPr>
      <w:rFonts w:ascii="Times New Roman" w:hAnsi="Times New Roman"/>
      <w:b/>
      <w:i w:val="false"/>
      <w:sz w:val="24"/>
    </w:rPr>
  </w:style>
  <w:style w:type="character" w:styleId="ListLabel21" w:customStyle="1">
    <w:name w:val="ListLabel 21"/>
    <w:qFormat/>
    <w:rPr>
      <w:b/>
      <w:i w:val="false"/>
      <w:sz w:val="24"/>
    </w:rPr>
  </w:style>
  <w:style w:type="character" w:styleId="ListLabel22" w:customStyle="1">
    <w:name w:val="ListLabel 22"/>
    <w:qFormat/>
    <w:rPr>
      <w:b/>
      <w:i w:val="false"/>
      <w:sz w:val="24"/>
    </w:rPr>
  </w:style>
  <w:style w:type="character" w:styleId="ListLabel23" w:customStyle="1">
    <w:name w:val="ListLabel 23"/>
    <w:qFormat/>
    <w:rPr>
      <w:rFonts w:ascii="Times New Roman" w:hAnsi="Times New Roman"/>
      <w:b/>
      <w:i w:val="false"/>
      <w:sz w:val="24"/>
    </w:rPr>
  </w:style>
  <w:style w:type="character" w:styleId="ListLabel24" w:customStyle="1">
    <w:name w:val="ListLabel 24"/>
    <w:qFormat/>
    <w:rPr>
      <w:rFonts w:ascii="Times New Roman" w:hAnsi="Times New Roman"/>
      <w:b/>
      <w:i w:val="false"/>
      <w:sz w:val="24"/>
    </w:rPr>
  </w:style>
  <w:style w:type="character" w:styleId="ListLabel25" w:customStyle="1">
    <w:name w:val="ListLabel 25"/>
    <w:qFormat/>
    <w:rPr>
      <w:rFonts w:ascii="Times New Roman" w:hAnsi="Times New Roman"/>
      <w:b/>
      <w:i w:val="false"/>
      <w:sz w:val="24"/>
    </w:rPr>
  </w:style>
  <w:style w:type="character" w:styleId="ListLabel26" w:customStyle="1">
    <w:name w:val="ListLabel 26"/>
    <w:qFormat/>
    <w:rPr>
      <w:b/>
      <w:i w:val="false"/>
      <w:sz w:val="24"/>
    </w:rPr>
  </w:style>
  <w:style w:type="character" w:styleId="ListLabel27" w:customStyle="1">
    <w:name w:val="ListLabel 27"/>
    <w:qFormat/>
    <w:rPr>
      <w:b/>
      <w:i w:val="false"/>
      <w:sz w:val="24"/>
    </w:rPr>
  </w:style>
  <w:style w:type="character" w:styleId="ListLabel28" w:customStyle="1">
    <w:name w:val="ListLabel 28"/>
    <w:qFormat/>
    <w:rPr>
      <w:rFonts w:ascii="Times New Roman" w:hAnsi="Times New Roman"/>
      <w:b/>
      <w:i w:val="false"/>
      <w:sz w:val="24"/>
    </w:rPr>
  </w:style>
  <w:style w:type="character" w:styleId="ListLabel29" w:customStyle="1">
    <w:name w:val="ListLabel 29"/>
    <w:qFormat/>
    <w:rPr>
      <w:rFonts w:ascii="Times New Roman" w:hAnsi="Times New Roman"/>
      <w:b/>
      <w:i w:val="false"/>
      <w:sz w:val="24"/>
    </w:rPr>
  </w:style>
  <w:style w:type="character" w:styleId="ListLabel30" w:customStyle="1">
    <w:name w:val="ListLabel 30"/>
    <w:qFormat/>
    <w:rPr>
      <w:rFonts w:ascii="Times New Roman" w:hAnsi="Times New Roman"/>
      <w:b/>
      <w:i w:val="false"/>
      <w:sz w:val="24"/>
    </w:rPr>
  </w:style>
  <w:style w:type="character" w:styleId="ListLabel31" w:customStyle="1">
    <w:name w:val="ListLabel 31"/>
    <w:qFormat/>
    <w:rPr>
      <w:b/>
      <w:i w:val="false"/>
      <w:sz w:val="24"/>
    </w:rPr>
  </w:style>
  <w:style w:type="character" w:styleId="ListLabel32" w:customStyle="1">
    <w:name w:val="ListLabel 32"/>
    <w:qFormat/>
    <w:rPr>
      <w:b/>
      <w:i w:val="false"/>
      <w:sz w:val="24"/>
    </w:rPr>
  </w:style>
  <w:style w:type="character" w:styleId="ListLabel33" w:customStyle="1">
    <w:name w:val="ListLabel 33"/>
    <w:qFormat/>
    <w:rPr>
      <w:rFonts w:ascii="Times New Roman" w:hAnsi="Times New Roman"/>
      <w:b/>
      <w:i w:val="false"/>
      <w:sz w:val="24"/>
    </w:rPr>
  </w:style>
  <w:style w:type="character" w:styleId="ListLabel34" w:customStyle="1">
    <w:name w:val="ListLabel 34"/>
    <w:qFormat/>
    <w:rPr>
      <w:rFonts w:ascii="Times New Roman" w:hAnsi="Times New Roman"/>
      <w:b/>
      <w:i w:val="false"/>
      <w:sz w:val="24"/>
    </w:rPr>
  </w:style>
  <w:style w:type="character" w:styleId="ListLabel35" w:customStyle="1">
    <w:name w:val="ListLabel 35"/>
    <w:qFormat/>
    <w:rPr>
      <w:rFonts w:ascii="Times New Roman" w:hAnsi="Times New Roman"/>
      <w:b/>
      <w:i w:val="false"/>
      <w:sz w:val="24"/>
    </w:rPr>
  </w:style>
  <w:style w:type="character" w:styleId="ListLabel36" w:customStyle="1">
    <w:name w:val="ListLabel 36"/>
    <w:qFormat/>
    <w:rPr>
      <w:b/>
      <w:i w:val="false"/>
      <w:sz w:val="22"/>
    </w:rPr>
  </w:style>
  <w:style w:type="character" w:styleId="ListLabel37" w:customStyle="1">
    <w:name w:val="ListLabel 37"/>
    <w:qFormat/>
    <w:rPr>
      <w:b/>
      <w:i w:val="false"/>
      <w:sz w:val="22"/>
    </w:rPr>
  </w:style>
  <w:style w:type="character" w:styleId="ListLabel38" w:customStyle="1">
    <w:name w:val="ListLabel 38"/>
    <w:qFormat/>
    <w:rPr>
      <w:rFonts w:ascii="Times New Roman" w:hAnsi="Times New Roman"/>
      <w:b/>
      <w:i w:val="false"/>
      <w:sz w:val="22"/>
    </w:rPr>
  </w:style>
  <w:style w:type="character" w:styleId="ListLabel39" w:customStyle="1">
    <w:name w:val="ListLabel 39"/>
    <w:qFormat/>
    <w:rPr>
      <w:rFonts w:ascii="Times New Roman" w:hAnsi="Times New Roman"/>
      <w:b/>
      <w:i w:val="false"/>
      <w:sz w:val="24"/>
    </w:rPr>
  </w:style>
  <w:style w:type="character" w:styleId="ListLabel40" w:customStyle="1">
    <w:name w:val="ListLabel 40"/>
    <w:qFormat/>
    <w:rPr>
      <w:rFonts w:ascii="Times New Roman" w:hAnsi="Times New Roman"/>
      <w:b/>
      <w:i w:val="false"/>
      <w:sz w:val="24"/>
    </w:rPr>
  </w:style>
  <w:style w:type="character" w:styleId="ListLabel41" w:customStyle="1">
    <w:name w:val="ListLabel 41"/>
    <w:qFormat/>
    <w:rPr>
      <w:b/>
      <w:i w:val="false"/>
      <w:sz w:val="22"/>
    </w:rPr>
  </w:style>
  <w:style w:type="character" w:styleId="ListLabel42" w:customStyle="1">
    <w:name w:val="ListLabel 42"/>
    <w:qFormat/>
    <w:rPr>
      <w:b/>
      <w:i w:val="false"/>
      <w:sz w:val="22"/>
    </w:rPr>
  </w:style>
  <w:style w:type="character" w:styleId="ListLabel43" w:customStyle="1">
    <w:name w:val="ListLabel 43"/>
    <w:qFormat/>
    <w:rPr>
      <w:rFonts w:ascii="Times New Roman" w:hAnsi="Times New Roman"/>
      <w:b/>
      <w:i w:val="false"/>
      <w:sz w:val="22"/>
    </w:rPr>
  </w:style>
  <w:style w:type="character" w:styleId="ListLabel44" w:customStyle="1">
    <w:name w:val="ListLabel 44"/>
    <w:qFormat/>
    <w:rPr>
      <w:rFonts w:ascii="Times New Roman" w:hAnsi="Times New Roman"/>
      <w:b/>
      <w:i w:val="false"/>
      <w:sz w:val="24"/>
    </w:rPr>
  </w:style>
  <w:style w:type="character" w:styleId="ListLabel45" w:customStyle="1">
    <w:name w:val="ListLabel 45"/>
    <w:qFormat/>
    <w:rPr>
      <w:rFonts w:ascii="Times New Roman" w:hAnsi="Times New Roman"/>
      <w:b/>
      <w:i w:val="false"/>
      <w:sz w:val="24"/>
    </w:rPr>
  </w:style>
  <w:style w:type="character" w:styleId="ListLabel46" w:customStyle="1">
    <w:name w:val="ListLabel 46"/>
    <w:qFormat/>
    <w:rPr>
      <w:b/>
      <w:i w:val="false"/>
      <w:sz w:val="22"/>
    </w:rPr>
  </w:style>
  <w:style w:type="character" w:styleId="ListLabel47" w:customStyle="1">
    <w:name w:val="ListLabel 47"/>
    <w:qFormat/>
    <w:rPr>
      <w:b/>
      <w:i w:val="false"/>
      <w:sz w:val="22"/>
    </w:rPr>
  </w:style>
  <w:style w:type="character" w:styleId="ListLabel48" w:customStyle="1">
    <w:name w:val="ListLabel 48"/>
    <w:qFormat/>
    <w:rPr>
      <w:rFonts w:ascii="Times New Roman" w:hAnsi="Times New Roman"/>
      <w:b/>
      <w:i w:val="false"/>
      <w:sz w:val="24"/>
    </w:rPr>
  </w:style>
  <w:style w:type="character" w:styleId="ListLabel49" w:customStyle="1">
    <w:name w:val="ListLabel 49"/>
    <w:qFormat/>
    <w:rPr>
      <w:rFonts w:ascii="Times New Roman" w:hAnsi="Times New Roman"/>
      <w:b/>
      <w:i w:val="false"/>
      <w:sz w:val="24"/>
    </w:rPr>
  </w:style>
  <w:style w:type="character" w:styleId="ListLabel50" w:customStyle="1">
    <w:name w:val="ListLabel 50"/>
    <w:qFormat/>
    <w:rPr>
      <w:rFonts w:ascii="Times New Roman" w:hAnsi="Times New Roman"/>
      <w:b/>
      <w:i w:val="false"/>
      <w:sz w:val="24"/>
    </w:rPr>
  </w:style>
  <w:style w:type="character" w:styleId="ListLabel51" w:customStyle="1">
    <w:name w:val="ListLabel 51"/>
    <w:qFormat/>
    <w:rPr>
      <w:b/>
      <w:i w:val="false"/>
      <w:sz w:val="22"/>
    </w:rPr>
  </w:style>
  <w:style w:type="character" w:styleId="ListLabel52" w:customStyle="1">
    <w:name w:val="ListLabel 52"/>
    <w:qFormat/>
    <w:rPr>
      <w:b/>
      <w:i w:val="false"/>
      <w:sz w:val="22"/>
    </w:rPr>
  </w:style>
  <w:style w:type="character" w:styleId="ListLabel53" w:customStyle="1">
    <w:name w:val="ListLabel 53"/>
    <w:qFormat/>
    <w:rPr>
      <w:rFonts w:ascii="Times New Roman" w:hAnsi="Times New Roman"/>
      <w:b/>
      <w:i w:val="false"/>
      <w:sz w:val="24"/>
    </w:rPr>
  </w:style>
  <w:style w:type="character" w:styleId="ListLabel54" w:customStyle="1">
    <w:name w:val="ListLabel 54"/>
    <w:qFormat/>
    <w:rPr>
      <w:rFonts w:ascii="Times New Roman" w:hAnsi="Times New Roman"/>
      <w:b/>
      <w:i w:val="false"/>
      <w:sz w:val="24"/>
    </w:rPr>
  </w:style>
  <w:style w:type="character" w:styleId="ListLabel55" w:customStyle="1">
    <w:name w:val="ListLabel 55"/>
    <w:qFormat/>
    <w:rPr>
      <w:rFonts w:ascii="Times New Roman" w:hAnsi="Times New Roman"/>
      <w:b/>
      <w:i w:val="false"/>
      <w:sz w:val="24"/>
    </w:rPr>
  </w:style>
  <w:style w:type="character" w:styleId="ListLabel56" w:customStyle="1">
    <w:name w:val="ListLabel 56"/>
    <w:qFormat/>
    <w:rPr>
      <w:b/>
      <w:i w:val="false"/>
      <w:sz w:val="22"/>
    </w:rPr>
  </w:style>
  <w:style w:type="character" w:styleId="ListLabel57" w:customStyle="1">
    <w:name w:val="ListLabel 57"/>
    <w:qFormat/>
    <w:rPr>
      <w:rFonts w:ascii="Times New Roman" w:hAnsi="Times New Roman"/>
      <w:b/>
      <w:i w:val="false"/>
      <w:sz w:val="24"/>
      <w:szCs w:val="24"/>
    </w:rPr>
  </w:style>
  <w:style w:type="character" w:styleId="ListLabel58" w:customStyle="1">
    <w:name w:val="ListLabel 58"/>
    <w:qFormat/>
    <w:rPr>
      <w:rFonts w:ascii="Times New Roman" w:hAnsi="Times New Roman"/>
      <w:b/>
      <w:i w:val="false"/>
      <w:sz w:val="24"/>
    </w:rPr>
  </w:style>
  <w:style w:type="character" w:styleId="ListLabel59" w:customStyle="1">
    <w:name w:val="ListLabel 59"/>
    <w:qFormat/>
    <w:rPr>
      <w:rFonts w:ascii="Times New Roman" w:hAnsi="Times New Roman"/>
      <w:b/>
      <w:i w:val="false"/>
      <w:sz w:val="24"/>
    </w:rPr>
  </w:style>
  <w:style w:type="character" w:styleId="ListLabel60" w:customStyle="1">
    <w:name w:val="ListLabel 60"/>
    <w:qFormat/>
    <w:rPr>
      <w:rFonts w:ascii="Times New Roman" w:hAnsi="Times New Roman"/>
      <w:b/>
      <w:i w:val="false"/>
      <w:sz w:val="24"/>
    </w:rPr>
  </w:style>
  <w:style w:type="character" w:styleId="Symbolyproslovn" w:customStyle="1">
    <w:name w:val="Symboly pro číslování"/>
    <w:qFormat/>
    <w:rPr>
      <w:rFonts w:ascii="Times New Roman" w:hAnsi="Times New Roman"/>
      <w:b/>
      <w:bCs/>
      <w:sz w:val="24"/>
      <w:szCs w:val="24"/>
    </w:rPr>
  </w:style>
  <w:style w:type="character" w:styleId="ListLabel61">
    <w:name w:val="ListLabel 61"/>
    <w:qFormat/>
    <w:rPr>
      <w:rFonts w:ascii="Times New Roman" w:hAnsi="Times New Roman"/>
      <w:b/>
      <w:i w:val="false"/>
      <w:sz w:val="24"/>
      <w:szCs w:val="24"/>
    </w:rPr>
  </w:style>
  <w:style w:type="character" w:styleId="ListLabel62">
    <w:name w:val="ListLabel 62"/>
    <w:qFormat/>
    <w:rPr>
      <w:rFonts w:ascii="Times New Roman" w:hAnsi="Times New Roman"/>
      <w:b/>
      <w:i w:val="false"/>
      <w:sz w:val="24"/>
    </w:rPr>
  </w:style>
  <w:style w:type="character" w:styleId="ListLabel63">
    <w:name w:val="ListLabel 63"/>
    <w:qFormat/>
    <w:rPr>
      <w:rFonts w:ascii="Times New Roman" w:hAnsi="Times New Roman"/>
      <w:b/>
      <w:i w:val="false"/>
      <w:sz w:val="24"/>
    </w:rPr>
  </w:style>
  <w:style w:type="character" w:styleId="ListLabel64">
    <w:name w:val="ListLabel 64"/>
    <w:qFormat/>
    <w:rPr>
      <w:rFonts w:ascii="Times New Roman" w:hAnsi="Times New Roman"/>
      <w:b/>
      <w:i w:val="false"/>
      <w:sz w:val="24"/>
    </w:rPr>
  </w:style>
  <w:style w:type="character" w:styleId="ListLabel65">
    <w:name w:val="ListLabel 65"/>
    <w:qFormat/>
    <w:rPr>
      <w:b/>
      <w:bCs/>
      <w:sz w:val="24"/>
      <w:szCs w:val="24"/>
    </w:rPr>
  </w:style>
  <w:style w:type="character" w:styleId="ListLabel66">
    <w:name w:val="ListLabel 66"/>
    <w:qFormat/>
    <w:rPr>
      <w:b/>
      <w:bCs/>
      <w:sz w:val="24"/>
      <w:szCs w:val="24"/>
    </w:rPr>
  </w:style>
  <w:style w:type="character" w:styleId="ListLabel67">
    <w:name w:val="ListLabel 67"/>
    <w:qFormat/>
    <w:rPr>
      <w:b/>
      <w:bCs/>
      <w:sz w:val="24"/>
      <w:szCs w:val="24"/>
    </w:rPr>
  </w:style>
  <w:style w:type="character" w:styleId="ListLabel68">
    <w:name w:val="ListLabel 68"/>
    <w:qFormat/>
    <w:rPr>
      <w:b/>
      <w:bCs/>
      <w:sz w:val="24"/>
      <w:szCs w:val="24"/>
    </w:rPr>
  </w:style>
  <w:style w:type="character" w:styleId="ListLabel69">
    <w:name w:val="ListLabel 69"/>
    <w:qFormat/>
    <w:rPr>
      <w:b/>
      <w:bCs/>
      <w:sz w:val="24"/>
      <w:szCs w:val="24"/>
    </w:rPr>
  </w:style>
  <w:style w:type="character" w:styleId="ListLabel70">
    <w:name w:val="ListLabel 70"/>
    <w:qFormat/>
    <w:rPr>
      <w:b/>
      <w:bCs/>
      <w:sz w:val="24"/>
      <w:szCs w:val="24"/>
    </w:rPr>
  </w:style>
  <w:style w:type="character" w:styleId="ListLabel71">
    <w:name w:val="ListLabel 71"/>
    <w:qFormat/>
    <w:rPr>
      <w:b/>
      <w:bCs/>
      <w:sz w:val="24"/>
      <w:szCs w:val="24"/>
    </w:rPr>
  </w:style>
  <w:style w:type="character" w:styleId="ListLabel72">
    <w:name w:val="ListLabel 72"/>
    <w:qFormat/>
    <w:rPr>
      <w:b/>
      <w:bCs/>
      <w:sz w:val="24"/>
      <w:szCs w:val="24"/>
    </w:rPr>
  </w:style>
  <w:style w:type="character" w:styleId="ListLabel73">
    <w:name w:val="ListLabel 73"/>
    <w:qFormat/>
    <w:rPr>
      <w:b/>
      <w:bCs/>
      <w:sz w:val="24"/>
      <w:szCs w:val="24"/>
    </w:rPr>
  </w:style>
  <w:style w:type="character" w:styleId="ListLabel74">
    <w:name w:val="ListLabel 74"/>
    <w:qFormat/>
    <w:rPr>
      <w:b/>
      <w:i w:val="false"/>
      <w:sz w:val="24"/>
    </w:rPr>
  </w:style>
  <w:style w:type="character" w:styleId="ListLabel75">
    <w:name w:val="ListLabel 75"/>
    <w:qFormat/>
    <w:rPr>
      <w:b/>
      <w:i w:val="false"/>
      <w:sz w:val="24"/>
    </w:rPr>
  </w:style>
  <w:style w:type="character" w:styleId="ListLabel76">
    <w:name w:val="ListLabel 76"/>
    <w:qFormat/>
    <w:rPr>
      <w:b/>
      <w:i w:val="false"/>
      <w:sz w:val="24"/>
    </w:rPr>
  </w:style>
  <w:style w:type="character" w:styleId="ListLabel77">
    <w:name w:val="ListLabel 77"/>
    <w:qFormat/>
    <w:rPr>
      <w:b/>
      <w:i w:val="false"/>
      <w:sz w:val="24"/>
    </w:rPr>
  </w:style>
  <w:style w:type="character" w:styleId="ListLabel78">
    <w:name w:val="ListLabel 78"/>
    <w:qFormat/>
    <w:rPr>
      <w:b/>
      <w:i w:val="false"/>
      <w:sz w:val="24"/>
    </w:rPr>
  </w:style>
  <w:style w:type="character" w:styleId="ListLabel79">
    <w:name w:val="ListLabel 79"/>
    <w:qFormat/>
    <w:rPr>
      <w:b/>
      <w:i w:val="false"/>
      <w:sz w:val="24"/>
    </w:rPr>
  </w:style>
  <w:style w:type="character" w:styleId="ListLabel80">
    <w:name w:val="ListLabel 80"/>
    <w:qFormat/>
    <w:rPr>
      <w:b/>
      <w:i w:val="false"/>
      <w:sz w:val="24"/>
    </w:rPr>
  </w:style>
  <w:style w:type="character" w:styleId="ListLabel81">
    <w:name w:val="ListLabel 81"/>
    <w:qFormat/>
    <w:rPr>
      <w:b/>
      <w:i w:val="false"/>
      <w:sz w:val="22"/>
    </w:rPr>
  </w:style>
  <w:style w:type="character" w:styleId="ListLabel82">
    <w:name w:val="ListLabel 82"/>
    <w:qFormat/>
    <w:rPr>
      <w:b/>
      <w:i w:val="false"/>
      <w:sz w:val="22"/>
    </w:rPr>
  </w:style>
  <w:style w:type="character" w:styleId="ListLabel83">
    <w:name w:val="ListLabel 83"/>
    <w:qFormat/>
    <w:rPr>
      <w:rFonts w:ascii="Times New Roman" w:hAnsi="Times New Roman"/>
      <w:b/>
      <w:i w:val="false"/>
      <w:sz w:val="24"/>
      <w:szCs w:val="24"/>
    </w:rPr>
  </w:style>
  <w:style w:type="character" w:styleId="ListLabel84">
    <w:name w:val="ListLabel 84"/>
    <w:qFormat/>
    <w:rPr>
      <w:rFonts w:ascii="Times New Roman" w:hAnsi="Times New Roman"/>
      <w:b/>
      <w:i w:val="false"/>
      <w:sz w:val="24"/>
    </w:rPr>
  </w:style>
  <w:style w:type="character" w:styleId="ListLabel85">
    <w:name w:val="ListLabel 85"/>
    <w:qFormat/>
    <w:rPr>
      <w:rFonts w:ascii="Times New Roman" w:hAnsi="Times New Roman"/>
      <w:b/>
      <w:i w:val="false"/>
      <w:sz w:val="24"/>
    </w:rPr>
  </w:style>
  <w:style w:type="character" w:styleId="ListLabel86">
    <w:name w:val="ListLabel 86"/>
    <w:qFormat/>
    <w:rPr>
      <w:rFonts w:ascii="Times New Roman" w:hAnsi="Times New Roman"/>
      <w:b/>
      <w:i w:val="false"/>
      <w:sz w:val="24"/>
    </w:rPr>
  </w:style>
  <w:style w:type="character" w:styleId="ListLabel87">
    <w:name w:val="ListLabel 87"/>
    <w:qFormat/>
    <w:rPr>
      <w:rFonts w:ascii="Times New Roman" w:hAnsi="Times New Roman"/>
      <w:b/>
      <w:bCs/>
      <w:sz w:val="24"/>
      <w:szCs w:val="24"/>
    </w:rPr>
  </w:style>
  <w:style w:type="character" w:styleId="ListLabel88">
    <w:name w:val="ListLabel 88"/>
    <w:qFormat/>
    <w:rPr>
      <w:b/>
      <w:bCs/>
      <w:sz w:val="24"/>
      <w:szCs w:val="24"/>
    </w:rPr>
  </w:style>
  <w:style w:type="character" w:styleId="ListLabel89">
    <w:name w:val="ListLabel 89"/>
    <w:qFormat/>
    <w:rPr>
      <w:b/>
      <w:bCs/>
      <w:sz w:val="24"/>
      <w:szCs w:val="24"/>
    </w:rPr>
  </w:style>
  <w:style w:type="character" w:styleId="ListLabel90">
    <w:name w:val="ListLabel 90"/>
    <w:qFormat/>
    <w:rPr>
      <w:b/>
      <w:bCs/>
      <w:sz w:val="24"/>
      <w:szCs w:val="24"/>
    </w:rPr>
  </w:style>
  <w:style w:type="character" w:styleId="ListLabel91">
    <w:name w:val="ListLabel 91"/>
    <w:qFormat/>
    <w:rPr>
      <w:b/>
      <w:bCs/>
      <w:sz w:val="24"/>
      <w:szCs w:val="24"/>
    </w:rPr>
  </w:style>
  <w:style w:type="character" w:styleId="ListLabel92">
    <w:name w:val="ListLabel 92"/>
    <w:qFormat/>
    <w:rPr>
      <w:b/>
      <w:bCs/>
      <w:sz w:val="24"/>
      <w:szCs w:val="24"/>
    </w:rPr>
  </w:style>
  <w:style w:type="character" w:styleId="ListLabel93">
    <w:name w:val="ListLabel 93"/>
    <w:qFormat/>
    <w:rPr>
      <w:b/>
      <w:bCs/>
      <w:sz w:val="24"/>
      <w:szCs w:val="24"/>
    </w:rPr>
  </w:style>
  <w:style w:type="character" w:styleId="ListLabel94">
    <w:name w:val="ListLabel 94"/>
    <w:qFormat/>
    <w:rPr>
      <w:b/>
      <w:bCs/>
      <w:sz w:val="24"/>
      <w:szCs w:val="24"/>
    </w:rPr>
  </w:style>
  <w:style w:type="character" w:styleId="ListLabel95">
    <w:name w:val="ListLabel 95"/>
    <w:qFormat/>
    <w:rPr>
      <w:b/>
      <w:bCs/>
      <w:sz w:val="24"/>
      <w:szCs w:val="24"/>
    </w:rPr>
  </w:style>
  <w:style w:type="character" w:styleId="ListLabel96">
    <w:name w:val="ListLabel 96"/>
    <w:qFormat/>
    <w:rPr>
      <w:rFonts w:ascii="Times New Roman" w:hAnsi="Times New Roman"/>
      <w:b/>
      <w:i w:val="false"/>
      <w:sz w:val="24"/>
      <w:szCs w:val="24"/>
    </w:rPr>
  </w:style>
  <w:style w:type="character" w:styleId="ListLabel97">
    <w:name w:val="ListLabel 97"/>
    <w:qFormat/>
    <w:rPr>
      <w:rFonts w:ascii="Times New Roman" w:hAnsi="Times New Roman"/>
      <w:b/>
      <w:i w:val="false"/>
      <w:sz w:val="24"/>
    </w:rPr>
  </w:style>
  <w:style w:type="character" w:styleId="ListLabel98">
    <w:name w:val="ListLabel 98"/>
    <w:qFormat/>
    <w:rPr>
      <w:rFonts w:ascii="Times New Roman" w:hAnsi="Times New Roman"/>
      <w:b/>
      <w:i w:val="false"/>
      <w:sz w:val="24"/>
    </w:rPr>
  </w:style>
  <w:style w:type="character" w:styleId="ListLabel99">
    <w:name w:val="ListLabel 99"/>
    <w:qFormat/>
    <w:rPr>
      <w:rFonts w:ascii="Times New Roman" w:hAnsi="Times New Roman"/>
      <w:b/>
      <w:i w:val="false"/>
      <w:sz w:val="24"/>
    </w:rPr>
  </w:style>
  <w:style w:type="character" w:styleId="ListLabel100">
    <w:name w:val="ListLabel 100"/>
    <w:qFormat/>
    <w:rPr>
      <w:rFonts w:ascii="Times New Roman" w:hAnsi="Times New Roman"/>
      <w:b/>
      <w:bCs/>
      <w:sz w:val="24"/>
      <w:szCs w:val="24"/>
    </w:rPr>
  </w:style>
  <w:style w:type="character" w:styleId="ListLabel101">
    <w:name w:val="ListLabel 101"/>
    <w:qFormat/>
    <w:rPr>
      <w:b/>
      <w:bCs/>
      <w:sz w:val="24"/>
      <w:szCs w:val="24"/>
    </w:rPr>
  </w:style>
  <w:style w:type="character" w:styleId="ListLabel102">
    <w:name w:val="ListLabel 102"/>
    <w:qFormat/>
    <w:rPr>
      <w:b/>
      <w:bCs/>
      <w:sz w:val="24"/>
      <w:szCs w:val="24"/>
    </w:rPr>
  </w:style>
  <w:style w:type="character" w:styleId="ListLabel103">
    <w:name w:val="ListLabel 103"/>
    <w:qFormat/>
    <w:rPr>
      <w:b/>
      <w:bCs/>
      <w:sz w:val="24"/>
      <w:szCs w:val="24"/>
    </w:rPr>
  </w:style>
  <w:style w:type="character" w:styleId="ListLabel104">
    <w:name w:val="ListLabel 104"/>
    <w:qFormat/>
    <w:rPr>
      <w:b/>
      <w:bCs/>
      <w:sz w:val="24"/>
      <w:szCs w:val="24"/>
    </w:rPr>
  </w:style>
  <w:style w:type="character" w:styleId="ListLabel105">
    <w:name w:val="ListLabel 105"/>
    <w:qFormat/>
    <w:rPr>
      <w:b/>
      <w:bCs/>
      <w:sz w:val="24"/>
      <w:szCs w:val="24"/>
    </w:rPr>
  </w:style>
  <w:style w:type="character" w:styleId="ListLabel106">
    <w:name w:val="ListLabel 106"/>
    <w:qFormat/>
    <w:rPr>
      <w:b/>
      <w:bCs/>
      <w:sz w:val="24"/>
      <w:szCs w:val="24"/>
    </w:rPr>
  </w:style>
  <w:style w:type="character" w:styleId="ListLabel107">
    <w:name w:val="ListLabel 107"/>
    <w:qFormat/>
    <w:rPr>
      <w:b/>
      <w:bCs/>
      <w:sz w:val="24"/>
      <w:szCs w:val="24"/>
    </w:rPr>
  </w:style>
  <w:style w:type="character" w:styleId="ListLabel108">
    <w:name w:val="ListLabel 108"/>
    <w:qFormat/>
    <w:rPr>
      <w:b/>
      <w:bCs/>
      <w:sz w:val="24"/>
      <w:szCs w:val="24"/>
    </w:rPr>
  </w:style>
  <w:style w:type="character" w:styleId="ListLabel109">
    <w:name w:val="ListLabel 109"/>
    <w:qFormat/>
    <w:rPr>
      <w:rFonts w:ascii="Times New Roman" w:hAnsi="Times New Roman"/>
      <w:b/>
      <w:i w:val="false"/>
      <w:sz w:val="24"/>
      <w:szCs w:val="24"/>
    </w:rPr>
  </w:style>
  <w:style w:type="character" w:styleId="ListLabel110">
    <w:name w:val="ListLabel 110"/>
    <w:qFormat/>
    <w:rPr>
      <w:rFonts w:ascii="Times New Roman" w:hAnsi="Times New Roman"/>
      <w:b/>
      <w:i w:val="false"/>
      <w:sz w:val="24"/>
    </w:rPr>
  </w:style>
  <w:style w:type="character" w:styleId="ListLabel111">
    <w:name w:val="ListLabel 111"/>
    <w:qFormat/>
    <w:rPr>
      <w:rFonts w:ascii="Times New Roman" w:hAnsi="Times New Roman"/>
      <w:b/>
      <w:i w:val="false"/>
      <w:sz w:val="24"/>
    </w:rPr>
  </w:style>
  <w:style w:type="character" w:styleId="ListLabel112">
    <w:name w:val="ListLabel 112"/>
    <w:qFormat/>
    <w:rPr>
      <w:rFonts w:ascii="Times New Roman" w:hAnsi="Times New Roman"/>
      <w:b/>
      <w:i w:val="false"/>
      <w:sz w:val="24"/>
    </w:rPr>
  </w:style>
  <w:style w:type="character" w:styleId="ListLabel113">
    <w:name w:val="ListLabel 113"/>
    <w:qFormat/>
    <w:rPr>
      <w:rFonts w:ascii="Times New Roman" w:hAnsi="Times New Roman"/>
      <w:b/>
      <w:bCs/>
      <w:sz w:val="24"/>
      <w:szCs w:val="24"/>
    </w:rPr>
  </w:style>
  <w:style w:type="character" w:styleId="ListLabel114">
    <w:name w:val="ListLabel 114"/>
    <w:qFormat/>
    <w:rPr>
      <w:b/>
      <w:bCs/>
      <w:sz w:val="24"/>
      <w:szCs w:val="24"/>
    </w:rPr>
  </w:style>
  <w:style w:type="character" w:styleId="ListLabel115">
    <w:name w:val="ListLabel 115"/>
    <w:qFormat/>
    <w:rPr>
      <w:b/>
      <w:bCs/>
      <w:sz w:val="24"/>
      <w:szCs w:val="24"/>
    </w:rPr>
  </w:style>
  <w:style w:type="character" w:styleId="ListLabel116">
    <w:name w:val="ListLabel 116"/>
    <w:qFormat/>
    <w:rPr>
      <w:b/>
      <w:bCs/>
      <w:sz w:val="24"/>
      <w:szCs w:val="24"/>
    </w:rPr>
  </w:style>
  <w:style w:type="character" w:styleId="ListLabel117">
    <w:name w:val="ListLabel 117"/>
    <w:qFormat/>
    <w:rPr>
      <w:b/>
      <w:bCs/>
      <w:sz w:val="24"/>
      <w:szCs w:val="24"/>
    </w:rPr>
  </w:style>
  <w:style w:type="character" w:styleId="ListLabel118">
    <w:name w:val="ListLabel 118"/>
    <w:qFormat/>
    <w:rPr>
      <w:b/>
      <w:bCs/>
      <w:sz w:val="24"/>
      <w:szCs w:val="24"/>
    </w:rPr>
  </w:style>
  <w:style w:type="character" w:styleId="ListLabel119">
    <w:name w:val="ListLabel 119"/>
    <w:qFormat/>
    <w:rPr>
      <w:b/>
      <w:bCs/>
      <w:sz w:val="24"/>
      <w:szCs w:val="24"/>
    </w:rPr>
  </w:style>
  <w:style w:type="character" w:styleId="ListLabel120">
    <w:name w:val="ListLabel 120"/>
    <w:qFormat/>
    <w:rPr>
      <w:b/>
      <w:bCs/>
      <w:sz w:val="24"/>
      <w:szCs w:val="24"/>
    </w:rPr>
  </w:style>
  <w:style w:type="character" w:styleId="ListLabel121">
    <w:name w:val="ListLabel 121"/>
    <w:qFormat/>
    <w:rPr>
      <w:b/>
      <w:bCs/>
      <w:sz w:val="24"/>
      <w:szCs w:val="24"/>
    </w:rPr>
  </w:style>
  <w:style w:type="character" w:styleId="ListLabel122">
    <w:name w:val="ListLabel 122"/>
    <w:qFormat/>
    <w:rPr>
      <w:rFonts w:ascii="Times New Roman" w:hAnsi="Times New Roman"/>
      <w:b/>
      <w:i w:val="false"/>
      <w:sz w:val="24"/>
      <w:szCs w:val="24"/>
    </w:rPr>
  </w:style>
  <w:style w:type="character" w:styleId="ListLabel123">
    <w:name w:val="ListLabel 123"/>
    <w:qFormat/>
    <w:rPr>
      <w:rFonts w:ascii="Times New Roman" w:hAnsi="Times New Roman"/>
      <w:b/>
      <w:i w:val="false"/>
      <w:sz w:val="24"/>
    </w:rPr>
  </w:style>
  <w:style w:type="character" w:styleId="ListLabel124">
    <w:name w:val="ListLabel 124"/>
    <w:qFormat/>
    <w:rPr>
      <w:rFonts w:ascii="Times New Roman" w:hAnsi="Times New Roman"/>
      <w:b/>
      <w:i w:val="false"/>
      <w:sz w:val="24"/>
    </w:rPr>
  </w:style>
  <w:style w:type="character" w:styleId="ListLabel125">
    <w:name w:val="ListLabel 125"/>
    <w:qFormat/>
    <w:rPr>
      <w:rFonts w:ascii="Times New Roman" w:hAnsi="Times New Roman"/>
      <w:b/>
      <w:i w:val="false"/>
      <w:sz w:val="24"/>
    </w:rPr>
  </w:style>
  <w:style w:type="character" w:styleId="ListLabel126">
    <w:name w:val="ListLabel 126"/>
    <w:qFormat/>
    <w:rPr>
      <w:b/>
      <w:bCs/>
      <w:sz w:val="24"/>
      <w:szCs w:val="24"/>
    </w:rPr>
  </w:style>
  <w:style w:type="character" w:styleId="ListLabel127">
    <w:name w:val="ListLabel 127"/>
    <w:qFormat/>
    <w:rPr>
      <w:b/>
      <w:bCs/>
      <w:sz w:val="24"/>
      <w:szCs w:val="24"/>
    </w:rPr>
  </w:style>
  <w:style w:type="character" w:styleId="ListLabel128">
    <w:name w:val="ListLabel 128"/>
    <w:qFormat/>
    <w:rPr>
      <w:b/>
      <w:bCs/>
      <w:sz w:val="24"/>
      <w:szCs w:val="24"/>
    </w:rPr>
  </w:style>
  <w:style w:type="character" w:styleId="ListLabel129">
    <w:name w:val="ListLabel 129"/>
    <w:qFormat/>
    <w:rPr>
      <w:b/>
      <w:bCs/>
      <w:sz w:val="24"/>
      <w:szCs w:val="24"/>
    </w:rPr>
  </w:style>
  <w:style w:type="character" w:styleId="ListLabel130">
    <w:name w:val="ListLabel 130"/>
    <w:qFormat/>
    <w:rPr>
      <w:b/>
      <w:bCs/>
      <w:sz w:val="24"/>
      <w:szCs w:val="24"/>
    </w:rPr>
  </w:style>
  <w:style w:type="character" w:styleId="ListLabel131">
    <w:name w:val="ListLabel 131"/>
    <w:qFormat/>
    <w:rPr>
      <w:b/>
      <w:bCs/>
      <w:sz w:val="24"/>
      <w:szCs w:val="24"/>
    </w:rPr>
  </w:style>
  <w:style w:type="character" w:styleId="ListLabel132">
    <w:name w:val="ListLabel 132"/>
    <w:qFormat/>
    <w:rPr>
      <w:b/>
      <w:bCs/>
      <w:sz w:val="24"/>
      <w:szCs w:val="24"/>
    </w:rPr>
  </w:style>
  <w:style w:type="character" w:styleId="ListLabel133">
    <w:name w:val="ListLabel 133"/>
    <w:qFormat/>
    <w:rPr>
      <w:b/>
      <w:bCs/>
      <w:sz w:val="24"/>
      <w:szCs w:val="24"/>
    </w:rPr>
  </w:style>
  <w:style w:type="character" w:styleId="ListLabel134">
    <w:name w:val="ListLabel 134"/>
    <w:qFormat/>
    <w:rPr>
      <w:b/>
      <w:bCs/>
      <w:sz w:val="24"/>
      <w:szCs w:val="24"/>
    </w:rPr>
  </w:style>
  <w:style w:type="paragraph" w:styleId="Nadpis" w:customStyle="1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eastAsia="Calibri" w:cs="" w:cstheme="minorBidi" w:eastAsiaTheme="minorHAnsi"/>
      <w:lang w:eastAsia="en-US"/>
    </w:rPr>
  </w:style>
  <w:style w:type="paragraph" w:styleId="Zpat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LibreOffice/5.1.2.2$Windows_x86 LibreOffice_project/d3bf12ecb743fc0d20e0be0c58ca359301eb705f</Application>
  <Pages>5</Pages>
  <Words>1276</Words>
  <Characters>7771</Characters>
  <CharactersWithSpaces>9181</CharactersWithSpaces>
  <Paragraphs>90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2019-01-28T17:06:00Z</dcterms:created>
  <dc:creator>UzivatelX</dc:creator>
  <dc:description/>
  <dc:language>cs-CZ</dc:language>
  <cp:lastModifiedBy/>
  <cp:lastPrinted>2018-03-13T13:31:00Z</cp:lastPrinted>
  <dcterms:modified xsi:type="dcterms:W3CDTF">2019-02-04T12:05:34Z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